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Bolt Business. Špeciálne podmienky -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/>
      </w:pPr>
      <w:r w:rsidDel="00000000" w:rsidR="00000000" w:rsidRPr="00000000">
        <w:rPr>
          <w:b w:val="1"/>
          <w:rtl w:val="0"/>
        </w:rPr>
        <w:t xml:space="preserve">(Názov spoločnosti)</w:t>
      </w:r>
      <w:r w:rsidDel="00000000" w:rsidR="00000000" w:rsidRPr="00000000">
        <w:rPr>
          <w:rtl w:val="0"/>
        </w:rPr>
        <w:t xml:space="preserve">, registrovaná podľa zákonov Slovenskej republiky s registračným kódom IČO (IČO), so sídlom (Sídlo), Slovensko (ďalej len Zákazník),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Bolt Operations OÜ</w:t>
      </w:r>
      <w:r w:rsidDel="00000000" w:rsidR="00000000" w:rsidRPr="00000000">
        <w:rPr>
          <w:rtl w:val="0"/>
        </w:rPr>
        <w:t xml:space="preserve">, založená podľa práva Estónska s registračným kódom 14532901, so sídlom na Vana-Lõuna tn 15, Tallinn 10134, Estónsko (ďalej len </w:t>
      </w:r>
      <w:r w:rsidDel="00000000" w:rsidR="00000000" w:rsidRPr="00000000">
        <w:rPr>
          <w:i w:val="1"/>
          <w:rtl w:val="0"/>
        </w:rPr>
        <w:t xml:space="preserve">Bolt</w:t>
      </w:r>
      <w:r w:rsidDel="00000000" w:rsidR="00000000" w:rsidRPr="00000000">
        <w:rPr>
          <w:rtl w:val="0"/>
        </w:rPr>
        <w:t xml:space="preserve">),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tiež označované spoločne ako </w:t>
      </w:r>
      <w:r w:rsidDel="00000000" w:rsidR="00000000" w:rsidRPr="00000000">
        <w:rPr>
          <w:i w:val="1"/>
          <w:rtl w:val="0"/>
        </w:rPr>
        <w:t xml:space="preserve">Zmluvné strany</w:t>
      </w:r>
      <w:r w:rsidDel="00000000" w:rsidR="00000000" w:rsidRPr="00000000">
        <w:rPr>
          <w:rtl w:val="0"/>
        </w:rPr>
        <w:t xml:space="preserve"> a jednotlivo ako </w:t>
      </w:r>
      <w:r w:rsidDel="00000000" w:rsidR="00000000" w:rsidRPr="00000000">
        <w:rPr>
          <w:i w:val="1"/>
          <w:rtl w:val="0"/>
        </w:rPr>
        <w:t xml:space="preserve">Zmluvná strana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keďže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Strany majú v úmysle uzavrieť Zmluvu týkajúcu sa používania služieb Bolt Business Zákazníkom,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Zákazník oprávňuje spoločnosť Bolt konať ako príjemcu faktúr za služby Bolt na účet </w:t>
      </w:r>
      <w:r w:rsidDel="00000000" w:rsidR="00000000" w:rsidRPr="00000000">
        <w:rPr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ákazníka,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Zákazník oprávňuje spoločnosť Bolt, aby faktúry za služby Bolt kumulovala a aby </w:t>
      </w:r>
      <w:r w:rsidDel="00000000" w:rsidR="00000000" w:rsidRPr="00000000">
        <w:rPr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ákazníkovi pravidelne vystavovala jednu súhrnnú faktúru vrátane servisného poplatku,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sa dohodli na nasledovnom: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numPr>
          <w:ilvl w:val="0"/>
          <w:numId w:val="1"/>
        </w:numPr>
        <w:spacing w:after="0" w:lineRule="auto"/>
        <w:ind w:left="357" w:hanging="357"/>
        <w:rPr/>
      </w:pPr>
      <w:bookmarkStart w:colFirst="0" w:colLast="0" w:name="_heading=h.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Všeobecné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499" w:hanging="499"/>
        <w:jc w:val="both"/>
        <w:rPr/>
      </w:pPr>
      <w:r w:rsidDel="00000000" w:rsidR="00000000" w:rsidRPr="00000000">
        <w:rPr>
          <w:rtl w:val="0"/>
        </w:rPr>
        <w:t xml:space="preserve">Tieto Špeciálne podmienky nadobúdajú účinnosť po tom, čo sa Zákazník zaregistruje do Bolt Business tak, že poskytne požadované informácie a akceptuje Všeobecné obchodné podmienky pre Bolt Business na Obchodnom portáli.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499" w:hanging="499"/>
        <w:jc w:val="both"/>
        <w:rPr/>
      </w:pPr>
      <w:r w:rsidDel="00000000" w:rsidR="00000000" w:rsidRPr="00000000">
        <w:rPr>
          <w:rtl w:val="0"/>
        </w:rPr>
        <w:t xml:space="preserve">Tieto Špeciálne podmienky tvoria neoddeliteľnú súčasť Zmluvy.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499" w:hanging="499"/>
        <w:jc w:val="both"/>
        <w:rPr/>
      </w:pPr>
      <w:r w:rsidDel="00000000" w:rsidR="00000000" w:rsidRPr="00000000">
        <w:rPr>
          <w:rtl w:val="0"/>
        </w:rPr>
        <w:t xml:space="preserve">V prípade rozporu s akýmikoľvek inými časťami Zmluvy majú prednosť tieto Špeciálne podmienky.</w:t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1"/>
        </w:numPr>
        <w:spacing w:after="0" w:lineRule="auto"/>
        <w:ind w:left="357" w:hanging="357"/>
        <w:rPr/>
      </w:pPr>
      <w:bookmarkStart w:colFirst="0" w:colLast="0" w:name="_heading=h.1fob9te" w:id="2"/>
      <w:bookmarkEnd w:id="2"/>
      <w:r w:rsidDel="00000000" w:rsidR="00000000" w:rsidRPr="00000000">
        <w:rPr>
          <w:sz w:val="24"/>
          <w:szCs w:val="24"/>
          <w:rtl w:val="0"/>
        </w:rPr>
        <w:t xml:space="preserve">Platby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499" w:hanging="499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Poplatok za službu</w:t>
      </w:r>
      <w:r w:rsidDel="00000000" w:rsidR="00000000" w:rsidRPr="00000000">
        <w:rPr>
          <w:rtl w:val="0"/>
        </w:rPr>
        <w:t xml:space="preserve"> je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% z po</w:t>
      </w:r>
      <w:r w:rsidDel="00000000" w:rsidR="00000000" w:rsidRPr="00000000">
        <w:rPr>
          <w:highlight w:val="white"/>
          <w:rtl w:val="0"/>
        </w:rPr>
        <w:t xml:space="preserve">platku za služby Bolt.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499" w:hanging="499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Následné platby sú Zákazníko</w:t>
      </w:r>
      <w:r w:rsidDel="00000000" w:rsidR="00000000" w:rsidRPr="00000000">
        <w:rPr>
          <w:rtl w:val="0"/>
        </w:rPr>
        <w:t xml:space="preserve">v primárny </w:t>
      </w:r>
      <w:r w:rsidDel="00000000" w:rsidR="00000000" w:rsidRPr="00000000">
        <w:rPr>
          <w:highlight w:val="white"/>
          <w:rtl w:val="0"/>
        </w:rPr>
        <w:t xml:space="preserve">spôsob platby.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499" w:hanging="499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Mesačná faktúra je Zákazníkovi predkladaná za servisný poplatok a za Služby Bolt, ktoré Používatelia využívali počas predchádzajúceho kalendárneho mesiaca. Faktúry budú Zákazníkovi k dispozícii na Obchodnom portáli do 14. dňa nasledujúceho kalendárneho mesiaca.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499" w:hanging="499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Zákazník vykoná platbu podľa faktúry do 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tl w:val="0"/>
        </w:rPr>
        <w:t xml:space="preserve"> dní odo dňa prijatia faktúry Zákazníkom. Ak platba nebude prijatá do dátumu splatnosti, všetky neskoršie žiadosti Používateľov o Služby Bolt budú zamietnuté.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499" w:hanging="499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V prípade, že Zákazník nevykoná platbu pri splatnosti podľa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faktúry, je povinný zaplatiť úrok vo výške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  <w:t xml:space="preserve">% ročne z celkovej sumy, ktorá je po splatnosti. Zákazník je povinný spoločnosti Bolt kompenzovať všetky primerané výdavky (vrátane tých, ktoré účtuje akákoľvek agentúra na vymáhanie pohľadávok) spolu so všetkými administratívnymi, právnymi a inými nákladmi, ktoré vzniknú pri vymáhaní akejkoľvek omeškanej platby.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Zákazník</w:t>
        <w:tab/>
        <w:t xml:space="preserve">Bolt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103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ab/>
        <w:t xml:space="preserve">Ahto Kink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103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Spoločník</w:t>
        <w:tab/>
        <w:t xml:space="preserve">Member of the Management Board</w:t>
        <w:tab/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133" w:top="590" w:left="1418" w:right="851" w:header="380" w:footer="5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7796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796"/>
      <w:tblGridChange w:id="0">
        <w:tblGrid>
          <w:gridCol w:w="7796"/>
        </w:tblGrid>
      </w:tblGridChange>
    </w:tblGrid>
    <w:tr>
      <w:trPr>
        <w:cantSplit w:val="0"/>
        <w:trHeight w:val="52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567"/>
            </w:tabs>
            <w:rPr>
              <w:color w:val="000000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4589463</wp:posOffset>
              </wp:positionH>
              <wp:positionV relativeFrom="paragraph">
                <wp:posOffset>-33325</wp:posOffset>
              </wp:positionV>
              <wp:extent cx="1514475" cy="762000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8300" y="3508538"/>
                        <a:ext cx="12954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STRANA 3/ ODDIEL STRANY 7</w:t>
                          </w:r>
                        </w:p>
                      </w:txbxContent>
                    </wps:txbx>
                    <wps:bodyPr anchorCtr="0" anchor="t" bIns="414000" lIns="0" spcFirstLastPara="1" rIns="540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4589463</wp:posOffset>
              </wp:positionH>
              <wp:positionV relativeFrom="paragraph">
                <wp:posOffset>-33325</wp:posOffset>
              </wp:positionV>
              <wp:extent cx="1514475" cy="762000"/>
              <wp:effectExtent b="0" l="0" r="0" t="0"/>
              <wp:wrapNone/>
              <wp:docPr id="2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4475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67"/>
      </w:tabs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67"/>
      </w:tabs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</w:rPr>
      <w:drawing>
        <wp:inline distB="0" distT="0" distL="0" distR="0">
          <wp:extent cx="1219200" cy="704850"/>
          <wp:effectExtent b="0" l="0" r="0" t="0"/>
          <wp:docPr id="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1"/>
      <w:tblW w:w="7796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796"/>
      <w:tblGridChange w:id="0">
        <w:tblGrid>
          <w:gridCol w:w="7796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567"/>
            </w:tabs>
            <w:rPr>
              <w:color w:val="000000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</w:tabs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7" w:hanging="357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99" w:hanging="499"/>
      </w:pPr>
      <w:rPr>
        <w:b w:val="1"/>
        <w:i w:val="0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b w:val="1"/>
        <w:i w:val="0"/>
      </w:rPr>
    </w:lvl>
    <w:lvl w:ilvl="3">
      <w:start w:val="1"/>
      <w:numFmt w:val="decimal"/>
      <w:lvlText w:val="%1.%2.%3.%4."/>
      <w:lvlJc w:val="left"/>
      <w:pPr>
        <w:ind w:left="1072" w:hanging="1072"/>
      </w:pPr>
      <w:rPr>
        <w:b w:val="1"/>
        <w:i w:val="0"/>
      </w:rPr>
    </w:lvl>
    <w:lvl w:ilvl="4">
      <w:start w:val="1"/>
      <w:numFmt w:val="bullet"/>
      <w:lvlText w:val="●"/>
      <w:lvlJc w:val="left"/>
      <w:pPr>
        <w:ind w:left="1429" w:hanging="357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2142" w:hanging="357"/>
      </w:pPr>
      <w:rPr>
        <w:rFonts w:ascii="Noto Sans Symbols" w:cs="Noto Sans Symbols" w:eastAsia="Noto Sans Symbols" w:hAnsi="Noto Sans Symbols"/>
        <w:color w:val="000000"/>
      </w:rPr>
    </w:lvl>
    <w:lvl w:ilvl="6">
      <w:start w:val="1"/>
      <w:numFmt w:val="decimal"/>
      <w:lvlText w:val="%1.%2.%3.%4.●.●.%7."/>
      <w:lvlJc w:val="left"/>
      <w:pPr>
        <w:ind w:left="2499" w:hanging="357"/>
      </w:pPr>
      <w:rPr/>
    </w:lvl>
    <w:lvl w:ilvl="7">
      <w:start w:val="1"/>
      <w:numFmt w:val="decimal"/>
      <w:lvlText w:val="%1.%2.%3.%4.●.●.%7.%8."/>
      <w:lvlJc w:val="left"/>
      <w:pPr>
        <w:ind w:left="2856" w:hanging="355"/>
      </w:pPr>
      <w:rPr/>
    </w:lvl>
    <w:lvl w:ilvl="8">
      <w:start w:val="1"/>
      <w:numFmt w:val="decimal"/>
      <w:lvlText w:val="%1.%2.%3.%4.●.●.%7.%8.%9."/>
      <w:lvlJc w:val="left"/>
      <w:pPr>
        <w:ind w:left="3213" w:hanging="357"/>
      </w:pPr>
      <w:rPr/>
    </w:lvl>
  </w:abstractNum>
  <w:abstractNum w:abstractNumId="2">
    <w:lvl w:ilvl="0">
      <w:start w:val="3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4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lineRule="auto"/>
    </w:pPr>
    <w:rPr>
      <w:i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</w:rPr>
  </w:style>
  <w:style w:type="paragraph" w:styleId="Title">
    <w:name w:val="Title"/>
    <w:basedOn w:val="Normal"/>
    <w:next w:val="Normal"/>
    <w:pPr>
      <w:spacing w:after="500" w:before="500" w:lineRule="auto"/>
    </w:pPr>
    <w:rPr>
      <w:b w:val="1"/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after="400" w:before="400" w:lineRule="auto"/>
    </w:pPr>
    <w:rPr>
      <w:b w:val="1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CZIIWmO69uO3MatHrtY6MvfXyA==">CgMxLjAyCGguZ2pkZ3hzMgloLjMwajB6bGwyCWguMWZvYjl0ZTgAciExRFUyU3VlVWhEdF9iaFlqLXVjR1ZMbVVTOTlzVm11aHY=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