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FA4BE" w14:textId="77777777" w:rsidR="0096795A" w:rsidRPr="0096795A" w:rsidRDefault="0096795A" w:rsidP="0096795A">
      <w:pPr>
        <w:pStyle w:val="Nadpis1"/>
        <w:tabs>
          <w:tab w:val="left" w:pos="2332"/>
        </w:tabs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:lang w:eastAsia="sk-SK"/>
          <w14:ligatures w14:val="none"/>
        </w:rPr>
      </w:pPr>
      <w:r w:rsidRPr="0096795A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:lang w:eastAsia="sk-SK"/>
          <w14:ligatures w14:val="none"/>
        </w:rPr>
        <w:t>TABUĽKA ZHODY</w:t>
      </w:r>
    </w:p>
    <w:p w14:paraId="703FCEE2" w14:textId="77777777" w:rsidR="0096795A" w:rsidRPr="00D80657" w:rsidRDefault="0096795A" w:rsidP="0096795A">
      <w:pPr>
        <w:jc w:val="center"/>
        <w:rPr>
          <w:b/>
          <w:szCs w:val="20"/>
        </w:rPr>
      </w:pPr>
      <w:r w:rsidRPr="00D80657">
        <w:rPr>
          <w:b/>
          <w:szCs w:val="20"/>
        </w:rPr>
        <w:t>návrhu právneho predpisu s právom Európskej únie</w:t>
      </w:r>
    </w:p>
    <w:p w14:paraId="5AF0A757" w14:textId="77777777" w:rsidR="0096795A" w:rsidRPr="00B05D0A" w:rsidRDefault="0096795A" w:rsidP="0096795A">
      <w:pPr>
        <w:rPr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40" w:firstRow="0" w:lastRow="1" w:firstColumn="0" w:lastColumn="1" w:noHBand="0" w:noVBand="0"/>
      </w:tblPr>
      <w:tblGrid>
        <w:gridCol w:w="649"/>
        <w:gridCol w:w="3731"/>
        <w:gridCol w:w="1038"/>
        <w:gridCol w:w="494"/>
        <w:gridCol w:w="649"/>
        <w:gridCol w:w="3124"/>
        <w:gridCol w:w="582"/>
        <w:gridCol w:w="1161"/>
        <w:gridCol w:w="1083"/>
        <w:gridCol w:w="1477"/>
      </w:tblGrid>
      <w:tr w:rsidR="0096795A" w:rsidRPr="00D80657" w14:paraId="6844E90D" w14:textId="77777777" w:rsidTr="00CD6428">
        <w:trPr>
          <w:cantSplit/>
        </w:trPr>
        <w:tc>
          <w:tcPr>
            <w:tcW w:w="1937" w:type="pct"/>
            <w:gridSpan w:val="3"/>
          </w:tcPr>
          <w:p w14:paraId="5D50AAC4" w14:textId="77777777" w:rsidR="0096795A" w:rsidRPr="00D80657" w:rsidRDefault="0096795A" w:rsidP="00CD6428">
            <w:pPr>
              <w:jc w:val="center"/>
              <w:rPr>
                <w:b/>
                <w:sz w:val="20"/>
                <w:szCs w:val="20"/>
              </w:rPr>
            </w:pPr>
            <w:r w:rsidRPr="00D80657">
              <w:rPr>
                <w:b/>
                <w:bCs/>
                <w:sz w:val="20"/>
                <w:szCs w:val="20"/>
              </w:rPr>
              <w:t>Smernica Európskeho parlamentu a Rady (EÚ) 2024/1438 zo 14 mája 2024, ktorou sa mení smernica Rady 2001/110/ES o mede, smernica Rady 2001/112/ES, ktorá sa vzťahuje na ovocné šťavy a niektoré podobné produkty určené na ľudskú spotrebu, smernica Rady 2001/112/ES vzťahujúca sa na ovocné džemy, rôsoly a marmelády a sladené gaštanové pyré určené na ľudskú spotrebu a smernica Rady 2001/114/ES o určitom čiastočne alebo úplne dehydrovanom konzervovanom mlieku na ľudskú spotrebu (Ú. v. EÚ L 2024/1438, 24.5.2024)</w:t>
            </w:r>
          </w:p>
        </w:tc>
        <w:tc>
          <w:tcPr>
            <w:tcW w:w="3063" w:type="pct"/>
            <w:gridSpan w:val="7"/>
            <w:vAlign w:val="center"/>
          </w:tcPr>
          <w:p w14:paraId="7AB40C33" w14:textId="77777777" w:rsidR="0096795A" w:rsidRPr="00D80657" w:rsidRDefault="0096795A" w:rsidP="00CD6428">
            <w:pPr>
              <w:jc w:val="center"/>
              <w:rPr>
                <w:b/>
                <w:sz w:val="20"/>
                <w:szCs w:val="20"/>
              </w:rPr>
            </w:pPr>
            <w:r w:rsidRPr="00D80657">
              <w:rPr>
                <w:b/>
                <w:sz w:val="20"/>
                <w:szCs w:val="20"/>
              </w:rPr>
              <w:t xml:space="preserve">Návrh </w:t>
            </w:r>
            <w:r w:rsidRPr="006F1F37">
              <w:rPr>
                <w:b/>
                <w:sz w:val="20"/>
                <w:szCs w:val="20"/>
              </w:rPr>
              <w:t>vyhlášky Ministerstva pôdohospodárstva a rozvoja vidieka Slovenskej republiky, ktorou sa mení a dopĺňa vyhláška Ministerstva pôdohospodárstva a rozvoja vidieka Slovenskej republiky č. 179/2016 Z. z. o požiadavkách na zahustené mlieko a sušené mlieko</w:t>
            </w:r>
          </w:p>
        </w:tc>
      </w:tr>
      <w:tr w:rsidR="0096795A" w:rsidRPr="00B05D0A" w14:paraId="3CD25468" w14:textId="77777777" w:rsidTr="00CD6428">
        <w:trPr>
          <w:cantSplit/>
        </w:trPr>
        <w:tc>
          <w:tcPr>
            <w:tcW w:w="232" w:type="pct"/>
          </w:tcPr>
          <w:p w14:paraId="36AD808C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334" w:type="pct"/>
          </w:tcPr>
          <w:p w14:paraId="3929591F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14:paraId="024CC113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</w:tcPr>
          <w:p w14:paraId="55979BF7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14:paraId="34473710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pct"/>
          </w:tcPr>
          <w:p w14:paraId="2B18339C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8" w:type="pct"/>
          </w:tcPr>
          <w:p w14:paraId="5A80B67F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</w:tcPr>
          <w:p w14:paraId="16E60347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</w:tcPr>
          <w:p w14:paraId="111865CE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14:paraId="70064D59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6795A" w:rsidRPr="00B05D0A" w14:paraId="690C9E5E" w14:textId="77777777" w:rsidTr="00CD6428">
        <w:trPr>
          <w:cantSplit/>
        </w:trPr>
        <w:tc>
          <w:tcPr>
            <w:tcW w:w="232" w:type="pct"/>
          </w:tcPr>
          <w:p w14:paraId="6BFCE408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Článok (Č, O, V, P)</w:t>
            </w:r>
          </w:p>
        </w:tc>
        <w:tc>
          <w:tcPr>
            <w:tcW w:w="1334" w:type="pct"/>
          </w:tcPr>
          <w:p w14:paraId="5FC50755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Text</w:t>
            </w:r>
          </w:p>
        </w:tc>
        <w:tc>
          <w:tcPr>
            <w:tcW w:w="371" w:type="pct"/>
          </w:tcPr>
          <w:p w14:paraId="24B72E9C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Spôsob transpozície </w:t>
            </w:r>
          </w:p>
        </w:tc>
        <w:tc>
          <w:tcPr>
            <w:tcW w:w="177" w:type="pct"/>
          </w:tcPr>
          <w:p w14:paraId="2283CB46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232" w:type="pct"/>
          </w:tcPr>
          <w:p w14:paraId="351A038A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Článok (Č, §, O, V, P) </w:t>
            </w:r>
          </w:p>
        </w:tc>
        <w:tc>
          <w:tcPr>
            <w:tcW w:w="1117" w:type="pct"/>
          </w:tcPr>
          <w:p w14:paraId="42068712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Text</w:t>
            </w:r>
          </w:p>
        </w:tc>
        <w:tc>
          <w:tcPr>
            <w:tcW w:w="208" w:type="pct"/>
          </w:tcPr>
          <w:p w14:paraId="0F789163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Zhoda</w:t>
            </w:r>
          </w:p>
        </w:tc>
        <w:tc>
          <w:tcPr>
            <w:tcW w:w="415" w:type="pct"/>
          </w:tcPr>
          <w:p w14:paraId="1F6E4042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Poznámky</w:t>
            </w:r>
          </w:p>
        </w:tc>
        <w:tc>
          <w:tcPr>
            <w:tcW w:w="387" w:type="pct"/>
          </w:tcPr>
          <w:p w14:paraId="63A3EDC7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Identifikácie </w:t>
            </w:r>
            <w:proofErr w:type="spellStart"/>
            <w:r w:rsidRPr="00B05D0A">
              <w:rPr>
                <w:color w:val="000000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528" w:type="pct"/>
          </w:tcPr>
          <w:p w14:paraId="22E5E847" w14:textId="77777777" w:rsidR="0096795A" w:rsidRPr="00B05D0A" w:rsidRDefault="0096795A" w:rsidP="00CD6428">
            <w:pPr>
              <w:ind w:left="-69" w:right="-67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Identifikácia oblasti </w:t>
            </w:r>
            <w:proofErr w:type="spellStart"/>
            <w:r w:rsidRPr="00B05D0A">
              <w:rPr>
                <w:color w:val="000000"/>
                <w:sz w:val="20"/>
                <w:szCs w:val="20"/>
              </w:rPr>
              <w:t>gold-platingu</w:t>
            </w:r>
            <w:proofErr w:type="spellEnd"/>
            <w:r w:rsidRPr="00B05D0A">
              <w:rPr>
                <w:color w:val="000000"/>
                <w:sz w:val="20"/>
                <w:szCs w:val="20"/>
              </w:rPr>
              <w:t xml:space="preserve"> a vyjadrenie k opodstatnenosti </w:t>
            </w:r>
            <w:proofErr w:type="spellStart"/>
            <w:r w:rsidRPr="00B05D0A">
              <w:rPr>
                <w:color w:val="000000"/>
                <w:sz w:val="20"/>
                <w:szCs w:val="20"/>
              </w:rPr>
              <w:t>gold-platingu</w:t>
            </w:r>
            <w:proofErr w:type="spellEnd"/>
            <w:r w:rsidRPr="00B05D0A">
              <w:rPr>
                <w:color w:val="000000"/>
                <w:sz w:val="20"/>
                <w:szCs w:val="20"/>
              </w:rPr>
              <w:t>*</w:t>
            </w:r>
          </w:p>
        </w:tc>
      </w:tr>
      <w:tr w:rsidR="0096795A" w:rsidRPr="00B05D0A" w14:paraId="644EDA5B" w14:textId="77777777" w:rsidTr="00CD6428">
        <w:tc>
          <w:tcPr>
            <w:tcW w:w="232" w:type="pct"/>
          </w:tcPr>
          <w:p w14:paraId="24246D4B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14:paraId="2481945D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B:1</w:t>
            </w:r>
          </w:p>
          <w:p w14:paraId="1A257D84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pct"/>
          </w:tcPr>
          <w:p w14:paraId="2B4D009A" w14:textId="77777777" w:rsidR="0096795A" w:rsidRDefault="0096795A" w:rsidP="00CD6428">
            <w:pPr>
              <w:spacing w:before="75"/>
              <w:jc w:val="both"/>
              <w:rPr>
                <w:color w:val="000000"/>
                <w:sz w:val="20"/>
                <w:szCs w:val="20"/>
              </w:rPr>
            </w:pPr>
            <w:r w:rsidRPr="006F1F37">
              <w:rPr>
                <w:color w:val="000000"/>
                <w:sz w:val="20"/>
                <w:szCs w:val="20"/>
              </w:rPr>
              <w:t xml:space="preserve">V článku 3 sa úvodná veta nahrádza takto: „Nariadenie Európskeho parlamentu a Rady (EÚ) č. 1169/2011 (*) sa uplatňuje na výrobky definované v prílohe I k tejto smernici, a to za týchto podmienok: </w:t>
            </w:r>
          </w:p>
          <w:p w14:paraId="441CF102" w14:textId="77777777" w:rsidR="0096795A" w:rsidRPr="00B05D0A" w:rsidRDefault="0096795A" w:rsidP="00CD6428">
            <w:pPr>
              <w:spacing w:before="75"/>
              <w:jc w:val="both"/>
              <w:rPr>
                <w:color w:val="000000"/>
                <w:sz w:val="20"/>
                <w:szCs w:val="20"/>
              </w:rPr>
            </w:pPr>
            <w:r w:rsidRPr="006F1F37">
              <w:rPr>
                <w:color w:val="000000"/>
                <w:sz w:val="20"/>
                <w:szCs w:val="20"/>
              </w:rPr>
              <w:t xml:space="preserve">(*) Nariadenie Európskeho parlamentu a Rady (EÚ) č. 1169/2011 z 25. októbra 2011 o poskytovaní informácií o 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</w:t>
            </w:r>
            <w:r w:rsidRPr="006F1F37">
              <w:rPr>
                <w:color w:val="000000"/>
                <w:sz w:val="20"/>
                <w:szCs w:val="20"/>
              </w:rPr>
              <w:lastRenderedPageBreak/>
              <w:t>nariadenie Komisie (ES) č. 608/2004 (Ú. v. EÚ L 304, 22.11.2011, s. 18).“</w:t>
            </w:r>
          </w:p>
        </w:tc>
        <w:tc>
          <w:tcPr>
            <w:tcW w:w="371" w:type="pct"/>
          </w:tcPr>
          <w:p w14:paraId="2556A422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lastRenderedPageBreak/>
              <w:t>n.a</w:t>
            </w:r>
            <w:proofErr w:type="spellEnd"/>
          </w:p>
        </w:tc>
        <w:tc>
          <w:tcPr>
            <w:tcW w:w="177" w:type="pct"/>
          </w:tcPr>
          <w:p w14:paraId="07E36DFE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3AFF613F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72427BA9" w14:textId="77777777" w:rsidR="0096795A" w:rsidRPr="00B05D0A" w:rsidRDefault="0096795A" w:rsidP="00CD6428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7B8EF10F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B05D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5" w:type="pct"/>
          </w:tcPr>
          <w:p w14:paraId="35C2D798" w14:textId="6DF08AF2" w:rsidR="0096795A" w:rsidRPr="00B05D0A" w:rsidRDefault="0096795A" w:rsidP="008E2C26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Dotknuté </w:t>
            </w:r>
            <w:r w:rsidR="008E2C26">
              <w:rPr>
                <w:color w:val="000000"/>
                <w:sz w:val="20"/>
                <w:szCs w:val="20"/>
              </w:rPr>
              <w:t xml:space="preserve">ustanovenie </w:t>
            </w:r>
            <w:r w:rsidRPr="00B05D0A">
              <w:rPr>
                <w:color w:val="000000"/>
                <w:sz w:val="20"/>
                <w:szCs w:val="20"/>
              </w:rPr>
              <w:t>nariadeni</w:t>
            </w:r>
            <w:r w:rsidR="008E2C26">
              <w:rPr>
                <w:color w:val="000000"/>
                <w:sz w:val="20"/>
                <w:szCs w:val="20"/>
              </w:rPr>
              <w:t>a</w:t>
            </w:r>
            <w:r w:rsidRPr="00B05D0A">
              <w:rPr>
                <w:color w:val="000000"/>
                <w:sz w:val="20"/>
                <w:szCs w:val="20"/>
              </w:rPr>
              <w:t xml:space="preserve"> je priamo uplatniteľné.</w:t>
            </w:r>
          </w:p>
        </w:tc>
        <w:tc>
          <w:tcPr>
            <w:tcW w:w="387" w:type="pct"/>
          </w:tcPr>
          <w:p w14:paraId="0ED5A189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34A2CAE7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5D90C5F9" w14:textId="77777777" w:rsidTr="00CD6428">
        <w:tc>
          <w:tcPr>
            <w:tcW w:w="232" w:type="pct"/>
          </w:tcPr>
          <w:p w14:paraId="401BB81D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14:paraId="02730F53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14:paraId="131F8E04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P:</w:t>
            </w:r>
            <w:r>
              <w:rPr>
                <w:color w:val="000000"/>
                <w:sz w:val="20"/>
                <w:szCs w:val="20"/>
              </w:rPr>
              <w:t>a</w:t>
            </w:r>
          </w:p>
          <w:p w14:paraId="3C97DF09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pct"/>
          </w:tcPr>
          <w:p w14:paraId="295433DD" w14:textId="77777777" w:rsidR="0096795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6F1F37">
              <w:rPr>
                <w:color w:val="000000"/>
                <w:sz w:val="20"/>
                <w:szCs w:val="20"/>
              </w:rPr>
              <w:t xml:space="preserve">Príloha I sa mení takto: </w:t>
            </w:r>
          </w:p>
          <w:p w14:paraId="1E5665BA" w14:textId="77777777" w:rsidR="0096795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6F1F37">
              <w:rPr>
                <w:color w:val="000000"/>
                <w:sz w:val="20"/>
                <w:szCs w:val="20"/>
              </w:rPr>
              <w:t xml:space="preserve"> bode 3 sa dopĺňa toto písmeno:</w:t>
            </w:r>
          </w:p>
          <w:p w14:paraId="73894C23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6F1F37">
              <w:rPr>
                <w:color w:val="000000"/>
                <w:sz w:val="20"/>
                <w:szCs w:val="20"/>
              </w:rPr>
              <w:t>„d) Zníženie obsahu laktózy premenou na glukózu a galaktózu. Úpravy v zložení mlieka, ktoré sú výsledkom tohto spracovania, sa povoľujú iba vtedy, ak sa nezmazateľne uvedú na obale výrobku tak, aby boli ľahko viditeľné a čitateľné. Takýmto označením nie je dotknutá povinnosť označovania výživovej hodnoty stanovená v nariadení (EÚ) č. 1169/2011. Členské štáty môžu obmedziť alebo zakázať úpravy zloženia mlieka uvedené v tomto písmene.“;</w:t>
            </w:r>
          </w:p>
        </w:tc>
        <w:tc>
          <w:tcPr>
            <w:tcW w:w="371" w:type="pct"/>
          </w:tcPr>
          <w:p w14:paraId="753AC410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77" w:type="pct"/>
          </w:tcPr>
          <w:p w14:paraId="6A8082A3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0662BFA2" w14:textId="77777777" w:rsidR="00345DE1" w:rsidRPr="00B05D0A" w:rsidRDefault="00345DE1" w:rsidP="00345DE1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color w:val="000000"/>
                <w:sz w:val="20"/>
                <w:szCs w:val="20"/>
              </w:rPr>
              <w:t>I</w:t>
            </w:r>
          </w:p>
          <w:p w14:paraId="5F20858C" w14:textId="4B5F5765" w:rsidR="008E2C26" w:rsidRPr="00B05D0A" w:rsidRDefault="00345DE1" w:rsidP="00AB53F3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B53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pct"/>
          </w:tcPr>
          <w:p w14:paraId="1989658B" w14:textId="64563BB5" w:rsidR="008E2C26" w:rsidRPr="008E2C26" w:rsidRDefault="008E2C26" w:rsidP="008E2C26">
            <w:pPr>
              <w:rPr>
                <w:color w:val="000000"/>
                <w:sz w:val="20"/>
                <w:szCs w:val="20"/>
              </w:rPr>
            </w:pPr>
            <w:r w:rsidRPr="008E2C26">
              <w:rPr>
                <w:color w:val="000000"/>
                <w:sz w:val="20"/>
                <w:szCs w:val="20"/>
              </w:rPr>
              <w:t>V Prílohe č. 1 v bode 4 sa dopĺňa písmeno d), ktoré znie:</w:t>
            </w:r>
          </w:p>
          <w:p w14:paraId="47094795" w14:textId="5EFAAFFE" w:rsidR="008E2C26" w:rsidRPr="008E2C26" w:rsidRDefault="008E2C26" w:rsidP="008E2C26">
            <w:pPr>
              <w:rPr>
                <w:color w:val="000000"/>
                <w:sz w:val="20"/>
                <w:szCs w:val="20"/>
              </w:rPr>
            </w:pPr>
            <w:r w:rsidRPr="008E2C26">
              <w:rPr>
                <w:color w:val="000000"/>
                <w:sz w:val="20"/>
                <w:szCs w:val="20"/>
              </w:rPr>
              <w:t xml:space="preserve">„d) zníženie obsahu laktózy premenou na glukózu a </w:t>
            </w:r>
            <w:proofErr w:type="spellStart"/>
            <w:r w:rsidRPr="008E2C26">
              <w:rPr>
                <w:color w:val="000000"/>
                <w:sz w:val="20"/>
                <w:szCs w:val="20"/>
              </w:rPr>
              <w:t>galaktózu</w:t>
            </w:r>
            <w:proofErr w:type="spellEnd"/>
            <w:r w:rsidRPr="008E2C26">
              <w:rPr>
                <w:color w:val="000000"/>
                <w:sz w:val="20"/>
                <w:szCs w:val="20"/>
              </w:rPr>
              <w:t xml:space="preserve"> je povolené iba vtedy, ak sa tieto úpravy v zložení mlieka nezmazateľne uvedú na obale výrobku tak, aby boli ľahko viditeľné a čitateľné; takýmto označením nie je dotknutá povinnosť označovania výživovej hodnoty stanovená v osobitnom predpise. </w:t>
            </w:r>
            <w:r w:rsidR="00AB53F3" w:rsidRPr="00AB53F3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E2C26">
              <w:rPr>
                <w:color w:val="000000"/>
                <w:sz w:val="20"/>
                <w:szCs w:val="20"/>
              </w:rPr>
              <w:t>)“.</w:t>
            </w:r>
          </w:p>
          <w:p w14:paraId="4A0C00E9" w14:textId="77777777" w:rsidR="008E2C26" w:rsidRPr="008E2C26" w:rsidRDefault="008E2C26" w:rsidP="008E2C26">
            <w:pPr>
              <w:rPr>
                <w:color w:val="000000"/>
                <w:sz w:val="20"/>
                <w:szCs w:val="20"/>
              </w:rPr>
            </w:pPr>
          </w:p>
          <w:p w14:paraId="498BC60F" w14:textId="7A35D0E9" w:rsidR="008E2C26" w:rsidRPr="008E2C26" w:rsidRDefault="008E2C26" w:rsidP="008E2C26">
            <w:pPr>
              <w:rPr>
                <w:color w:val="000000"/>
                <w:sz w:val="20"/>
                <w:szCs w:val="20"/>
              </w:rPr>
            </w:pPr>
            <w:r w:rsidRPr="008E2C26">
              <w:rPr>
                <w:color w:val="000000"/>
                <w:sz w:val="20"/>
                <w:szCs w:val="20"/>
              </w:rPr>
              <w:t xml:space="preserve">Poznámka pod čiarou k odkazu </w:t>
            </w:r>
            <w:r w:rsidR="00AB53F3">
              <w:rPr>
                <w:color w:val="000000"/>
                <w:sz w:val="20"/>
                <w:szCs w:val="20"/>
              </w:rPr>
              <w:t>1</w:t>
            </w:r>
            <w:r w:rsidRPr="008E2C26">
              <w:rPr>
                <w:color w:val="000000"/>
                <w:sz w:val="20"/>
                <w:szCs w:val="20"/>
              </w:rPr>
              <w:t xml:space="preserve"> znie:</w:t>
            </w:r>
          </w:p>
          <w:p w14:paraId="7DB03FFF" w14:textId="505C9219" w:rsidR="0096795A" w:rsidRPr="00B05D0A" w:rsidRDefault="008E2C26" w:rsidP="00AB53F3">
            <w:pPr>
              <w:rPr>
                <w:color w:val="000000"/>
                <w:sz w:val="20"/>
                <w:szCs w:val="20"/>
              </w:rPr>
            </w:pPr>
            <w:r w:rsidRPr="008E2C26">
              <w:rPr>
                <w:color w:val="000000"/>
                <w:sz w:val="20"/>
                <w:szCs w:val="20"/>
              </w:rPr>
              <w:t>„</w:t>
            </w:r>
            <w:r w:rsidR="00AB53F3">
              <w:rPr>
                <w:color w:val="000000"/>
                <w:sz w:val="20"/>
                <w:szCs w:val="20"/>
              </w:rPr>
              <w:t>1</w:t>
            </w:r>
            <w:r w:rsidRPr="008E2C26">
              <w:rPr>
                <w:color w:val="000000"/>
                <w:sz w:val="20"/>
                <w:szCs w:val="20"/>
              </w:rPr>
              <w:t>) Nariadenie Európskeho parlamentu a Rady (EÚ) č. 1169/2011 z 25. októbra 2011 o poskytovaní informácií o potravinách spotrebiteľom, ktorým sa menia a dopĺňajú nariadenia Európskeho parlamentu a Rady (ES) č. 1924/2006 a (ES) č.1925/2006 a ktorým sa zrušuje smernica Komisie 87/250/EHS, smernica Rady 90/496/EHS, smernica Komisie 1999/10/ES, smernica Európskeho parlamentu a Rady 2000/13/ES, smernice Komisie 2002/67/ES a 2008/5/ES a nariadenie Komisie (ES) č. 608/2004 (Ú. v. EÚ L 304, 22. 11. 2011) v platnom znení.</w:t>
            </w:r>
          </w:p>
        </w:tc>
        <w:tc>
          <w:tcPr>
            <w:tcW w:w="208" w:type="pct"/>
          </w:tcPr>
          <w:p w14:paraId="6D94084E" w14:textId="2F1FBC52" w:rsidR="0096795A" w:rsidRPr="00B05D0A" w:rsidRDefault="009D5DD4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415" w:type="pct"/>
          </w:tcPr>
          <w:p w14:paraId="630F7D1D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643FA736" w14:textId="6B229BFD" w:rsidR="0096795A" w:rsidRPr="00B05D0A" w:rsidRDefault="009D5DD4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78FEAF1C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4A589D86" w14:textId="77777777" w:rsidTr="00CD6428">
        <w:tc>
          <w:tcPr>
            <w:tcW w:w="232" w:type="pct"/>
          </w:tcPr>
          <w:p w14:paraId="1607C497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Č: 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14:paraId="430D943F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B: 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14:paraId="7AFD01FC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P:</w:t>
            </w:r>
            <w:r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334" w:type="pct"/>
          </w:tcPr>
          <w:p w14:paraId="57421D3A" w14:textId="77777777" w:rsidR="0096795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6F1F37">
              <w:rPr>
                <w:color w:val="000000"/>
                <w:sz w:val="20"/>
                <w:szCs w:val="20"/>
              </w:rPr>
              <w:t xml:space="preserve">Príloha I sa mení takto: </w:t>
            </w:r>
          </w:p>
          <w:p w14:paraId="1E681D81" w14:textId="77777777" w:rsidR="0096795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2C1341">
              <w:rPr>
                <w:color w:val="000000"/>
                <w:sz w:val="20"/>
                <w:szCs w:val="20"/>
              </w:rPr>
              <w:t xml:space="preserve">v bode 4 prílohy I sa dopĺňajú tieto písmená: „c) Potravinárske enzýmy schválené v súlade s nariadením Európskeho parlamentu a Rady (ES) č. 1332/2008 (*) . d) Prídavné látky v </w:t>
            </w:r>
            <w:r w:rsidRPr="002C1341">
              <w:rPr>
                <w:color w:val="000000"/>
                <w:sz w:val="20"/>
                <w:szCs w:val="20"/>
              </w:rPr>
              <w:lastRenderedPageBreak/>
              <w:t>potravinách schválené v súlade s nariadením Európskeho parlamentu a Rady (ES) č. 1333/2008 (**) .</w:t>
            </w:r>
          </w:p>
          <w:p w14:paraId="1B4092C4" w14:textId="77777777" w:rsidR="0096795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74B25D3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2C1341">
              <w:rPr>
                <w:color w:val="000000"/>
                <w:sz w:val="20"/>
                <w:szCs w:val="20"/>
              </w:rPr>
              <w:t xml:space="preserve"> (*) (**) Nariadenie Európskeho parlamentu a Rady (ES) č. 1332/2008 zo 16. decembra 2008 o potravinárskych enzýmoch, ktorým sa mení a dopĺňa smernica Rady 83/417/EHS, nariadenie Rady (ES) č. 1493/1999, smernica 2000/13/ES, smernica Rady 2001/112/ES a nariadenie (ES) č. 258/97 (Ú. v. EÚ L 354, 31.12.2008, s. 7). Nariadenie Európskeho parlamentu a Rady (ES) č. 1333/2008 zo 16. decembra 2008 o prídavných látkach v potravinách (Ú. v. EÚ L 354, 31.12.2008, s. 16).“</w:t>
            </w:r>
          </w:p>
        </w:tc>
        <w:tc>
          <w:tcPr>
            <w:tcW w:w="371" w:type="pct"/>
          </w:tcPr>
          <w:p w14:paraId="38F6C11B" w14:textId="5D44AA9E" w:rsidR="0096795A" w:rsidRPr="00B05D0A" w:rsidRDefault="009D5DD4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177" w:type="pct"/>
          </w:tcPr>
          <w:p w14:paraId="6D5AFE26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62D08DA5" w14:textId="77777777" w:rsidR="00345DE1" w:rsidRPr="00B05D0A" w:rsidRDefault="00345DE1" w:rsidP="00345DE1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color w:val="000000"/>
                <w:sz w:val="20"/>
                <w:szCs w:val="20"/>
              </w:rPr>
              <w:t>I</w:t>
            </w:r>
          </w:p>
          <w:p w14:paraId="56D4F3BC" w14:textId="008BA9C0" w:rsidR="0096795A" w:rsidRPr="00B05D0A" w:rsidRDefault="00345DE1" w:rsidP="00AB53F3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B53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7" w:type="pct"/>
          </w:tcPr>
          <w:p w14:paraId="312F775D" w14:textId="03EB380E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 xml:space="preserve">V Prílohe č. 1 v bode 5 písmeno b) sa dopĺňa </w:t>
            </w:r>
            <w:r w:rsidR="00AB53F3">
              <w:rPr>
                <w:color w:val="000000"/>
                <w:sz w:val="20"/>
                <w:szCs w:val="20"/>
              </w:rPr>
              <w:t>4</w:t>
            </w:r>
            <w:r w:rsidRPr="009D5DD4">
              <w:rPr>
                <w:color w:val="000000"/>
                <w:sz w:val="20"/>
                <w:szCs w:val="20"/>
              </w:rPr>
              <w:t>. a 5.</w:t>
            </w:r>
            <w:r w:rsidR="00AB53F3">
              <w:rPr>
                <w:color w:val="000000"/>
                <w:sz w:val="20"/>
                <w:szCs w:val="20"/>
              </w:rPr>
              <w:t xml:space="preserve"> bod</w:t>
            </w:r>
            <w:r w:rsidRPr="009D5DD4">
              <w:rPr>
                <w:color w:val="000000"/>
                <w:sz w:val="20"/>
                <w:szCs w:val="20"/>
              </w:rPr>
              <w:t>, ktoré znejú:</w:t>
            </w:r>
          </w:p>
          <w:p w14:paraId="05030B5F" w14:textId="1167672B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 xml:space="preserve">„4. potravinárske enzýmy schválené v súlade s osobitným predpisom, </w:t>
            </w:r>
            <w:r w:rsidR="00AB53F3" w:rsidRPr="00AB53F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9D5DD4">
              <w:rPr>
                <w:color w:val="000000"/>
                <w:sz w:val="20"/>
                <w:szCs w:val="20"/>
              </w:rPr>
              <w:t>)</w:t>
            </w:r>
          </w:p>
          <w:p w14:paraId="60D7F428" w14:textId="75EA7BA7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lastRenderedPageBreak/>
              <w:t xml:space="preserve"> 5. prídavné látky v potravinách schválené v súlade s osobitným predpisom. </w:t>
            </w:r>
            <w:r w:rsidR="00AB53F3" w:rsidRPr="00AB53F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9D5DD4">
              <w:rPr>
                <w:color w:val="000000"/>
                <w:sz w:val="20"/>
                <w:szCs w:val="20"/>
              </w:rPr>
              <w:t>)“.</w:t>
            </w:r>
          </w:p>
          <w:p w14:paraId="57BE88A8" w14:textId="77777777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  <w:p w14:paraId="438D84F9" w14:textId="3AC06B7E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 xml:space="preserve">Poznámky pod čiarou k odkazom </w:t>
            </w:r>
            <w:r w:rsidR="00AB53F3">
              <w:rPr>
                <w:color w:val="000000"/>
                <w:sz w:val="20"/>
                <w:szCs w:val="20"/>
              </w:rPr>
              <w:t>2</w:t>
            </w:r>
            <w:r w:rsidRPr="009D5DD4">
              <w:rPr>
                <w:color w:val="000000"/>
                <w:sz w:val="20"/>
                <w:szCs w:val="20"/>
              </w:rPr>
              <w:t xml:space="preserve"> a </w:t>
            </w:r>
            <w:r w:rsidR="00AB53F3">
              <w:rPr>
                <w:color w:val="000000"/>
                <w:sz w:val="20"/>
                <w:szCs w:val="20"/>
              </w:rPr>
              <w:t>3</w:t>
            </w:r>
            <w:r w:rsidRPr="009D5DD4">
              <w:rPr>
                <w:color w:val="000000"/>
                <w:sz w:val="20"/>
                <w:szCs w:val="20"/>
              </w:rPr>
              <w:t xml:space="preserve"> znejú:</w:t>
            </w:r>
          </w:p>
          <w:p w14:paraId="27332C89" w14:textId="0C5BDD89" w:rsidR="009D5DD4" w:rsidRPr="009D5DD4" w:rsidRDefault="009D5DD4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>„</w:t>
            </w:r>
            <w:r w:rsidR="00AB53F3">
              <w:rPr>
                <w:color w:val="000000"/>
                <w:sz w:val="20"/>
                <w:szCs w:val="20"/>
              </w:rPr>
              <w:t>2</w:t>
            </w:r>
            <w:r w:rsidRPr="009D5DD4">
              <w:rPr>
                <w:color w:val="000000"/>
                <w:sz w:val="20"/>
                <w:szCs w:val="20"/>
              </w:rPr>
              <w:t>) Nariadenie Európskeho parlamentu a Rady (ES) č. 1332/2008 zo 16. decembra 2008 o potravinárskych enzýmoch, ktorým sa mení a dopĺňa smernica Rady 83/417/EHS, nariadenie Rady (ES) č. 1493/1999, smernica 2000/13/ES, smernica Rady 2001/112/ES a nariadenie (ES) č. 258/97 (Ú. v. EÚ L 354, 31.12.2008, s. 7) v platnom znení.</w:t>
            </w:r>
          </w:p>
          <w:p w14:paraId="42975DEC" w14:textId="53CE2DA5" w:rsidR="0096795A" w:rsidRPr="00D80657" w:rsidRDefault="00AB53F3" w:rsidP="009D5DD4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D5DD4" w:rsidRPr="009D5DD4">
              <w:rPr>
                <w:color w:val="000000"/>
                <w:sz w:val="20"/>
                <w:szCs w:val="20"/>
              </w:rPr>
              <w:t>) Nariadenie Európskeho parlamentu a Rady (ES) č. 1333/2008 zo 16. decembra 2008 o prídavných látkach v potravinách (Ú. v. EÚ L 354, 31.12.2008, s. 16) v platnom znení.“</w:t>
            </w:r>
          </w:p>
        </w:tc>
        <w:tc>
          <w:tcPr>
            <w:tcW w:w="208" w:type="pct"/>
          </w:tcPr>
          <w:p w14:paraId="43FAEC6B" w14:textId="5457158D" w:rsidR="0096795A" w:rsidRPr="00B05D0A" w:rsidRDefault="00345DE1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Ú</w:t>
            </w:r>
          </w:p>
        </w:tc>
        <w:tc>
          <w:tcPr>
            <w:tcW w:w="415" w:type="pct"/>
          </w:tcPr>
          <w:p w14:paraId="0C4C9BDE" w14:textId="5B6A0200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720442B3" w14:textId="58D069D4" w:rsidR="0096795A" w:rsidRPr="00B05D0A" w:rsidRDefault="009D5DD4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287FCFEE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7EB95E10" w14:textId="77777777" w:rsidTr="00CD6428">
        <w:tc>
          <w:tcPr>
            <w:tcW w:w="232" w:type="pct"/>
          </w:tcPr>
          <w:p w14:paraId="44A00322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14:paraId="49A506F1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14:paraId="5B08325A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pct"/>
          </w:tcPr>
          <w:p w14:paraId="648088A0" w14:textId="77777777" w:rsidR="0096795A" w:rsidRPr="00B05D0A" w:rsidRDefault="0096795A" w:rsidP="00CD6428">
            <w:pPr>
              <w:jc w:val="both"/>
              <w:rPr>
                <w:color w:val="000000"/>
                <w:sz w:val="20"/>
                <w:szCs w:val="20"/>
              </w:rPr>
            </w:pPr>
            <w:r w:rsidRPr="002C1341">
              <w:rPr>
                <w:color w:val="000000"/>
                <w:sz w:val="20"/>
                <w:szCs w:val="20"/>
              </w:rPr>
              <w:t>V prílohe II sa písmeno a) nahrádza takto: „a) Anglický výraz ‚</w:t>
            </w:r>
            <w:proofErr w:type="spellStart"/>
            <w:r w:rsidRPr="002C1341">
              <w:rPr>
                <w:color w:val="000000"/>
                <w:sz w:val="20"/>
                <w:szCs w:val="20"/>
              </w:rPr>
              <w:t>evaporated</w:t>
            </w:r>
            <w:proofErr w:type="spellEnd"/>
            <w:r w:rsidRPr="002C13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1341">
              <w:rPr>
                <w:color w:val="000000"/>
                <w:sz w:val="20"/>
                <w:szCs w:val="20"/>
              </w:rPr>
              <w:t>milk</w:t>
            </w:r>
            <w:proofErr w:type="spellEnd"/>
            <w:r w:rsidRPr="002C1341">
              <w:rPr>
                <w:color w:val="000000"/>
                <w:sz w:val="20"/>
                <w:szCs w:val="20"/>
              </w:rPr>
              <w:t>‘ (dehydrované mlieko) označuje výrobok definovaný v bode 1 písm. b) prílohy I.“</w:t>
            </w:r>
          </w:p>
        </w:tc>
        <w:tc>
          <w:tcPr>
            <w:tcW w:w="371" w:type="pct"/>
          </w:tcPr>
          <w:p w14:paraId="32064B7A" w14:textId="136923C4" w:rsidR="0096795A" w:rsidRPr="00B05D0A" w:rsidRDefault="009D5DD4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7" w:type="pct"/>
          </w:tcPr>
          <w:p w14:paraId="368A49A2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23C96F74" w14:textId="77777777" w:rsidR="00345DE1" w:rsidRPr="00B05D0A" w:rsidRDefault="00345DE1" w:rsidP="00345DE1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color w:val="000000"/>
                <w:sz w:val="20"/>
                <w:szCs w:val="20"/>
              </w:rPr>
              <w:t>I</w:t>
            </w:r>
          </w:p>
          <w:p w14:paraId="72379C2C" w14:textId="1C8E5B24" w:rsidR="0096795A" w:rsidRPr="00B05D0A" w:rsidRDefault="00345DE1" w:rsidP="00AB53F3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B53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pct"/>
          </w:tcPr>
          <w:p w14:paraId="3FAB2B87" w14:textId="4F29C793" w:rsidR="009D5DD4" w:rsidRPr="009D5DD4" w:rsidRDefault="009D5DD4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>V Prílohe č. 2 písmeno a) znie:</w:t>
            </w:r>
          </w:p>
          <w:p w14:paraId="5A6F3965" w14:textId="24B1A68C" w:rsidR="0096795A" w:rsidRPr="00B05D0A" w:rsidRDefault="009D5DD4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>„a) Anglický výraz „</w:t>
            </w:r>
            <w:proofErr w:type="spellStart"/>
            <w:r w:rsidRPr="009D5DD4">
              <w:rPr>
                <w:color w:val="000000"/>
                <w:sz w:val="20"/>
                <w:szCs w:val="20"/>
              </w:rPr>
              <w:t>evaporated</w:t>
            </w:r>
            <w:proofErr w:type="spellEnd"/>
            <w:r w:rsidRPr="009D5D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DD4">
              <w:rPr>
                <w:color w:val="000000"/>
                <w:sz w:val="20"/>
                <w:szCs w:val="20"/>
              </w:rPr>
              <w:t>milk</w:t>
            </w:r>
            <w:proofErr w:type="spellEnd"/>
            <w:r w:rsidRPr="009D5DD4">
              <w:rPr>
                <w:color w:val="000000"/>
                <w:sz w:val="20"/>
                <w:szCs w:val="20"/>
              </w:rPr>
              <w:t>“ označuje výrobok definovaný v prílohe č. 1 prvom bode písm. b).“.</w:t>
            </w:r>
          </w:p>
        </w:tc>
        <w:tc>
          <w:tcPr>
            <w:tcW w:w="208" w:type="pct"/>
          </w:tcPr>
          <w:p w14:paraId="77F9C9CE" w14:textId="040D187F" w:rsidR="0096795A" w:rsidRPr="00B05D0A" w:rsidRDefault="009D5DD4" w:rsidP="00CD64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415" w:type="pct"/>
          </w:tcPr>
          <w:p w14:paraId="44BFD62D" w14:textId="7788CAC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0E885D62" w14:textId="60F954C8" w:rsidR="0096795A" w:rsidRPr="00B05D0A" w:rsidRDefault="009D5DD4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207334B2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373E5ADE" w14:textId="77777777" w:rsidTr="00CD6428">
        <w:tc>
          <w:tcPr>
            <w:tcW w:w="232" w:type="pct"/>
          </w:tcPr>
          <w:p w14:paraId="285A7E01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Č:5</w:t>
            </w:r>
          </w:p>
          <w:p w14:paraId="32A0BF4F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B:1,2</w:t>
            </w:r>
          </w:p>
        </w:tc>
        <w:tc>
          <w:tcPr>
            <w:tcW w:w="1334" w:type="pct"/>
          </w:tcPr>
          <w:p w14:paraId="5BD81676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>1. Členské štáty prijmú a uverejnia najneskôr do 14. decembra 2025 zákony, iné právne predpisy a správne opatrenia potrebné na dosiahnutie súladu s touto smernicou. Znenie týchto opatrení bezodkladne oznámia Komisii.</w:t>
            </w:r>
          </w:p>
          <w:p w14:paraId="0BE281C4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>Tieto opatrenia sa uplatňujú od 14. júna 2026.</w:t>
            </w:r>
          </w:p>
          <w:p w14:paraId="0B98E7F7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>Členské štáty uvedú priamo v prijatých ustanoveniach alebo pri ich úradnom uverejnení odkaz na túto smernicu. Podrobnosti o odkaze upravia členské štáty.</w:t>
            </w:r>
          </w:p>
          <w:p w14:paraId="0407A535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lastRenderedPageBreak/>
              <w:t>2. Členské štáty oznámia Komisii znenie hlavných opatrení vnútroštátneho práva, ktoré prijmú v oblasti pôsobnosti tejto smernice.</w:t>
            </w:r>
          </w:p>
        </w:tc>
        <w:tc>
          <w:tcPr>
            <w:tcW w:w="371" w:type="pct"/>
          </w:tcPr>
          <w:p w14:paraId="345997C1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177" w:type="pct"/>
          </w:tcPr>
          <w:p w14:paraId="6C1F951C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12A856C0" w14:textId="77777777" w:rsidR="0096795A" w:rsidRDefault="0096795A" w:rsidP="00CD6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Č: II</w:t>
            </w:r>
          </w:p>
          <w:p w14:paraId="5F14B5BA" w14:textId="77777777" w:rsidR="0096795A" w:rsidRDefault="0096795A" w:rsidP="00CD6428">
            <w:pPr>
              <w:rPr>
                <w:color w:val="000000"/>
                <w:sz w:val="20"/>
                <w:szCs w:val="20"/>
              </w:rPr>
            </w:pPr>
          </w:p>
          <w:p w14:paraId="388C8054" w14:textId="77777777" w:rsidR="0096795A" w:rsidRDefault="0096795A" w:rsidP="00CD6428">
            <w:pPr>
              <w:rPr>
                <w:color w:val="000000"/>
                <w:sz w:val="20"/>
                <w:szCs w:val="20"/>
              </w:rPr>
            </w:pPr>
          </w:p>
          <w:p w14:paraId="0123F59B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color w:val="000000"/>
                <w:sz w:val="20"/>
                <w:szCs w:val="20"/>
              </w:rPr>
              <w:t>I</w:t>
            </w:r>
          </w:p>
          <w:p w14:paraId="5B91DBAD" w14:textId="10653495" w:rsidR="0096795A" w:rsidRPr="00B05D0A" w:rsidRDefault="0096795A" w:rsidP="00AB53F3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B: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B53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pct"/>
          </w:tcPr>
          <w:p w14:paraId="05A567AD" w14:textId="77777777" w:rsidR="0096795A" w:rsidRDefault="0096795A" w:rsidP="00CD6428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D80657">
              <w:rPr>
                <w:color w:val="000000"/>
                <w:sz w:val="20"/>
                <w:szCs w:val="20"/>
              </w:rPr>
              <w:t>Táto vyhláška nadobúda účinnosť 14. júna 2026.</w:t>
            </w:r>
          </w:p>
          <w:p w14:paraId="3586FF09" w14:textId="77777777" w:rsidR="0096795A" w:rsidRDefault="0096795A" w:rsidP="00CD6428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</w:p>
          <w:p w14:paraId="3504B580" w14:textId="41E935D2" w:rsidR="00AB53F3" w:rsidRPr="00AB53F3" w:rsidRDefault="00AB53F3" w:rsidP="00AB53F3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AB53F3">
              <w:rPr>
                <w:color w:val="000000"/>
                <w:sz w:val="20"/>
                <w:szCs w:val="20"/>
              </w:rPr>
              <w:t xml:space="preserve">V Prílohe č. 3 bod 1 sa na konci bodka nahrádza čiarkou a pripájajú sa tieto slová: </w:t>
            </w:r>
          </w:p>
          <w:p w14:paraId="13CCF2E5" w14:textId="10B3CD2A" w:rsidR="009D5DD4" w:rsidRPr="009D5DD4" w:rsidRDefault="00AB53F3" w:rsidP="00AB53F3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AB53F3">
              <w:rPr>
                <w:color w:val="000000"/>
                <w:sz w:val="20"/>
                <w:szCs w:val="20"/>
              </w:rPr>
              <w:t>„ – smernice Európskeho parlamentu a Rady (EÚ) č. 2024/1438 z 14. mája 2024 (Ú. v. EÚ L 2024/1438, 24.5.2024).“.</w:t>
            </w:r>
            <w:r w:rsidR="009D5DD4" w:rsidRPr="009D5DD4">
              <w:rPr>
                <w:color w:val="000000"/>
                <w:sz w:val="20"/>
                <w:szCs w:val="20"/>
              </w:rPr>
              <w:t xml:space="preserve"> </w:t>
            </w:r>
          </w:p>
          <w:p w14:paraId="7D09E1F8" w14:textId="06BA831D" w:rsidR="0096795A" w:rsidRPr="00B05D0A" w:rsidRDefault="0096795A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7F2EEAF7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415" w:type="pct"/>
          </w:tcPr>
          <w:p w14:paraId="45F8F9F2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7B998843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4C0D59E4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0A8D90CD" w14:textId="77777777" w:rsidTr="00CD6428">
        <w:tc>
          <w:tcPr>
            <w:tcW w:w="232" w:type="pct"/>
          </w:tcPr>
          <w:p w14:paraId="6E30C4B9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 6</w:t>
            </w:r>
          </w:p>
        </w:tc>
        <w:tc>
          <w:tcPr>
            <w:tcW w:w="1334" w:type="pct"/>
          </w:tcPr>
          <w:p w14:paraId="5FF7D162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 xml:space="preserve">S produktmi a výrobkami, ktoré sa uvedú na trh alebo označia v súlade so smernicami 2001/110/ES pred 14. júnom 2026, možno obchodovať naďalej až do vyčerpania zásob. </w:t>
            </w:r>
          </w:p>
        </w:tc>
        <w:tc>
          <w:tcPr>
            <w:tcW w:w="371" w:type="pct"/>
          </w:tcPr>
          <w:p w14:paraId="41289742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7" w:type="pct"/>
          </w:tcPr>
          <w:p w14:paraId="4D3FA614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1DD324B6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color w:val="000000"/>
                <w:sz w:val="20"/>
                <w:szCs w:val="20"/>
              </w:rPr>
              <w:t>I</w:t>
            </w:r>
          </w:p>
          <w:p w14:paraId="48340C9E" w14:textId="5CAF4E1F" w:rsidR="0096795A" w:rsidRPr="00B05D0A" w:rsidRDefault="0096795A" w:rsidP="00AB53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B:</w:t>
            </w:r>
            <w:r w:rsidR="00AB53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pct"/>
          </w:tcPr>
          <w:p w14:paraId="0302791E" w14:textId="04B92A8C" w:rsidR="009D5DD4" w:rsidRPr="009D5DD4" w:rsidRDefault="009D5DD4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9D5DD4">
              <w:rPr>
                <w:color w:val="000000"/>
                <w:sz w:val="20"/>
                <w:szCs w:val="20"/>
              </w:rPr>
              <w:t>Za § 5 sa dopĺňa § 5a, ktorý znie:</w:t>
            </w:r>
          </w:p>
          <w:p w14:paraId="39F4A4A2" w14:textId="77777777" w:rsidR="00AB53F3" w:rsidRDefault="00AB53F3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AB53F3">
              <w:rPr>
                <w:color w:val="000000"/>
                <w:sz w:val="20"/>
                <w:szCs w:val="20"/>
              </w:rPr>
              <w:t>„§ 5a</w:t>
            </w:r>
          </w:p>
          <w:p w14:paraId="13382CF0" w14:textId="01BC9033" w:rsidR="0096795A" w:rsidRPr="00B05D0A" w:rsidRDefault="009D5DD4" w:rsidP="009D5DD4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D5DD4">
              <w:rPr>
                <w:color w:val="000000"/>
                <w:sz w:val="20"/>
                <w:szCs w:val="20"/>
              </w:rPr>
              <w:t xml:space="preserve">Výrobky spĺňajúce podmienky podľa predpisov platných do 14. júna 2026 možno uvádzať na trh </w:t>
            </w:r>
            <w:r w:rsidR="00AE0717" w:rsidRPr="00AE0717">
              <w:rPr>
                <w:color w:val="000000"/>
                <w:sz w:val="20"/>
                <w:szCs w:val="20"/>
              </w:rPr>
              <w:t>až do vyčerpania zásob</w:t>
            </w:r>
            <w:r w:rsidRPr="009D5DD4">
              <w:rPr>
                <w:color w:val="000000"/>
                <w:sz w:val="20"/>
                <w:szCs w:val="20"/>
              </w:rPr>
              <w:t>.“.</w:t>
            </w:r>
          </w:p>
        </w:tc>
        <w:tc>
          <w:tcPr>
            <w:tcW w:w="208" w:type="pct"/>
          </w:tcPr>
          <w:p w14:paraId="6D20A011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415" w:type="pct"/>
          </w:tcPr>
          <w:p w14:paraId="17A9A4D0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Prechodné ustanovenie. </w:t>
            </w:r>
          </w:p>
        </w:tc>
        <w:tc>
          <w:tcPr>
            <w:tcW w:w="387" w:type="pct"/>
          </w:tcPr>
          <w:p w14:paraId="6224841F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528" w:type="pct"/>
          </w:tcPr>
          <w:p w14:paraId="2DED7AD2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74E2610F" w14:textId="77777777" w:rsidTr="00CD6428">
        <w:tc>
          <w:tcPr>
            <w:tcW w:w="232" w:type="pct"/>
          </w:tcPr>
          <w:p w14:paraId="73F8B906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 xml:space="preserve">Č:7 </w:t>
            </w:r>
          </w:p>
        </w:tc>
        <w:tc>
          <w:tcPr>
            <w:tcW w:w="1334" w:type="pct"/>
          </w:tcPr>
          <w:p w14:paraId="27DF0FFF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>Táto smernica nadobúda účinnosť dvadsiatym dňom nasledujúcim po jej uverejnení</w:t>
            </w:r>
            <w:r w:rsidRPr="00B05D0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05D0A">
              <w:rPr>
                <w:iCs/>
                <w:color w:val="000000"/>
                <w:sz w:val="20"/>
                <w:szCs w:val="20"/>
              </w:rPr>
              <w:t>v </w:t>
            </w:r>
            <w:r w:rsidRPr="00B05D0A">
              <w:rPr>
                <w:i/>
                <w:iCs/>
                <w:color w:val="000000"/>
                <w:sz w:val="20"/>
                <w:szCs w:val="20"/>
              </w:rPr>
              <w:t>Úradnom vestníku Európskej únie</w:t>
            </w:r>
            <w:r w:rsidRPr="00B05D0A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14:paraId="33756402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177" w:type="pct"/>
          </w:tcPr>
          <w:p w14:paraId="398A674F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0DAA1F96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528A87D2" w14:textId="77777777" w:rsidR="0096795A" w:rsidRPr="00B05D0A" w:rsidRDefault="0096795A" w:rsidP="00CD6428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27896453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415" w:type="pct"/>
          </w:tcPr>
          <w:p w14:paraId="5CDA803E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4576BE4A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</w:tcPr>
          <w:p w14:paraId="776EE8B5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  <w:tr w:rsidR="0096795A" w:rsidRPr="00B05D0A" w14:paraId="7353FEE6" w14:textId="77777777" w:rsidTr="00CD6428">
        <w:tc>
          <w:tcPr>
            <w:tcW w:w="232" w:type="pct"/>
          </w:tcPr>
          <w:p w14:paraId="2BB27FA6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  <w:r w:rsidRPr="00B05D0A">
              <w:rPr>
                <w:color w:val="000000"/>
                <w:sz w:val="20"/>
                <w:szCs w:val="20"/>
              </w:rPr>
              <w:t>Č:8</w:t>
            </w:r>
          </w:p>
        </w:tc>
        <w:tc>
          <w:tcPr>
            <w:tcW w:w="1334" w:type="pct"/>
          </w:tcPr>
          <w:p w14:paraId="79D7DF3D" w14:textId="77777777" w:rsidR="0096795A" w:rsidRPr="00B05D0A" w:rsidRDefault="0096795A" w:rsidP="00CD6428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B05D0A">
              <w:rPr>
                <w:iCs/>
                <w:color w:val="000000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371" w:type="pct"/>
          </w:tcPr>
          <w:p w14:paraId="699C227D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177" w:type="pct"/>
          </w:tcPr>
          <w:p w14:paraId="25E41504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</w:tcPr>
          <w:p w14:paraId="3A06FABE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38CE1F05" w14:textId="77777777" w:rsidR="0096795A" w:rsidRPr="00B05D0A" w:rsidRDefault="0096795A" w:rsidP="00CD6428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5688CE0B" w14:textId="77777777" w:rsidR="0096795A" w:rsidRPr="00B05D0A" w:rsidRDefault="0096795A" w:rsidP="00CD64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5D0A">
              <w:rPr>
                <w:color w:val="000000"/>
                <w:sz w:val="20"/>
                <w:szCs w:val="20"/>
              </w:rPr>
              <w:t>n.a</w:t>
            </w:r>
            <w:proofErr w:type="spellEnd"/>
          </w:p>
        </w:tc>
        <w:tc>
          <w:tcPr>
            <w:tcW w:w="415" w:type="pct"/>
          </w:tcPr>
          <w:p w14:paraId="595563EC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3BE72C1A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</w:tcPr>
          <w:p w14:paraId="2E93B358" w14:textId="77777777" w:rsidR="0096795A" w:rsidRPr="00B05D0A" w:rsidRDefault="0096795A" w:rsidP="00CD642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66A5C7" w14:textId="77777777" w:rsidR="0096795A" w:rsidRPr="00B05D0A" w:rsidRDefault="0096795A" w:rsidP="0096795A">
      <w:pPr>
        <w:autoSpaceDE/>
        <w:autoSpaceDN/>
        <w:ind w:left="-142"/>
        <w:jc w:val="both"/>
        <w:rPr>
          <w:b/>
          <w:sz w:val="20"/>
          <w:szCs w:val="20"/>
          <w:lang w:eastAsia="en-US"/>
        </w:rPr>
      </w:pPr>
    </w:p>
    <w:p w14:paraId="14F2B69C" w14:textId="77777777" w:rsidR="0096795A" w:rsidRPr="00B05D0A" w:rsidRDefault="0096795A" w:rsidP="0096795A">
      <w:pPr>
        <w:autoSpaceDE/>
        <w:autoSpaceDN/>
        <w:jc w:val="both"/>
        <w:rPr>
          <w:b/>
          <w:sz w:val="20"/>
          <w:szCs w:val="20"/>
          <w:lang w:eastAsia="en-US"/>
        </w:rPr>
      </w:pPr>
    </w:p>
    <w:p w14:paraId="3E544721" w14:textId="77777777" w:rsidR="0096795A" w:rsidRPr="00B05D0A" w:rsidRDefault="0096795A" w:rsidP="0096795A">
      <w:pPr>
        <w:autoSpaceDE/>
        <w:autoSpaceDN/>
        <w:jc w:val="both"/>
        <w:rPr>
          <w:b/>
          <w:sz w:val="20"/>
          <w:szCs w:val="20"/>
          <w:lang w:eastAsia="en-US"/>
        </w:rPr>
      </w:pPr>
      <w:r w:rsidRPr="00B05D0A">
        <w:rPr>
          <w:b/>
          <w:sz w:val="20"/>
          <w:szCs w:val="20"/>
          <w:lang w:eastAsia="en-US"/>
        </w:rPr>
        <w:t>Legenda:</w:t>
      </w:r>
    </w:p>
    <w:p w14:paraId="42398944" w14:textId="77777777" w:rsidR="0096795A" w:rsidRPr="00B05D0A" w:rsidRDefault="0096795A" w:rsidP="0096795A">
      <w:pPr>
        <w:autoSpaceDE/>
        <w:autoSpaceDN/>
        <w:ind w:left="360"/>
        <w:jc w:val="both"/>
        <w:rPr>
          <w:sz w:val="20"/>
          <w:szCs w:val="20"/>
          <w:lang w:eastAsia="en-US"/>
        </w:rPr>
      </w:pP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140"/>
        <w:gridCol w:w="2410"/>
        <w:gridCol w:w="6770"/>
      </w:tblGrid>
      <w:tr w:rsidR="0096795A" w:rsidRPr="00B05D0A" w14:paraId="71E06067" w14:textId="77777777" w:rsidTr="00CD6428">
        <w:tc>
          <w:tcPr>
            <w:tcW w:w="2410" w:type="dxa"/>
          </w:tcPr>
          <w:p w14:paraId="3453CC19" w14:textId="77777777" w:rsidR="0096795A" w:rsidRPr="00B05D0A" w:rsidRDefault="0096795A" w:rsidP="00CD6428">
            <w:pPr>
              <w:pStyle w:val="Normlny0"/>
              <w:autoSpaceDE/>
              <w:rPr>
                <w:lang w:eastAsia="sk-SK"/>
              </w:rPr>
            </w:pPr>
            <w:r w:rsidRPr="00B05D0A">
              <w:rPr>
                <w:lang w:eastAsia="sk-SK"/>
              </w:rPr>
              <w:t>V stĺpci (1):</w:t>
            </w:r>
          </w:p>
          <w:p w14:paraId="0DC99F1F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Č – článok</w:t>
            </w:r>
          </w:p>
          <w:p w14:paraId="0AEA190B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O – odsek</w:t>
            </w:r>
          </w:p>
          <w:p w14:paraId="51CF77FD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V – veta</w:t>
            </w:r>
          </w:p>
          <w:p w14:paraId="1F3AF935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P – číslo (písmeno)</w:t>
            </w:r>
          </w:p>
          <w:p w14:paraId="347726FE" w14:textId="77777777" w:rsidR="0096795A" w:rsidRPr="00B05D0A" w:rsidRDefault="0096795A" w:rsidP="00CD642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14:paraId="5A1FB5B7" w14:textId="77777777" w:rsidR="0096795A" w:rsidRPr="00B05D0A" w:rsidRDefault="0096795A" w:rsidP="00CD6428">
            <w:pPr>
              <w:pStyle w:val="Normlny0"/>
              <w:autoSpaceDE/>
              <w:rPr>
                <w:lang w:eastAsia="sk-SK"/>
              </w:rPr>
            </w:pPr>
            <w:r w:rsidRPr="00B05D0A">
              <w:rPr>
                <w:lang w:eastAsia="sk-SK"/>
              </w:rPr>
              <w:t>V stĺpci (3):</w:t>
            </w:r>
          </w:p>
          <w:p w14:paraId="0D8B0659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N – bežná transpozícia</w:t>
            </w:r>
          </w:p>
          <w:p w14:paraId="297F4825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O – transpozícia s možnosťou voľby</w:t>
            </w:r>
          </w:p>
          <w:p w14:paraId="12FF75AE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D – transpozícia podľa úvahy (dobrovoľná)</w:t>
            </w:r>
          </w:p>
          <w:p w14:paraId="6D525D90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proofErr w:type="spellStart"/>
            <w:r w:rsidRPr="00B05D0A">
              <w:rPr>
                <w:sz w:val="20"/>
                <w:szCs w:val="20"/>
              </w:rPr>
              <w:t>n.a</w:t>
            </w:r>
            <w:proofErr w:type="spellEnd"/>
            <w:r w:rsidRPr="00B05D0A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410" w:type="dxa"/>
            <w:hideMark/>
          </w:tcPr>
          <w:p w14:paraId="0BDC56DA" w14:textId="77777777" w:rsidR="0096795A" w:rsidRPr="00B05D0A" w:rsidRDefault="0096795A" w:rsidP="00CD6428">
            <w:pPr>
              <w:pStyle w:val="Normlny0"/>
              <w:autoSpaceDE/>
              <w:rPr>
                <w:lang w:eastAsia="sk-SK"/>
              </w:rPr>
            </w:pPr>
            <w:r w:rsidRPr="00B05D0A">
              <w:rPr>
                <w:lang w:eastAsia="sk-SK"/>
              </w:rPr>
              <w:t>V stĺpci (5):</w:t>
            </w:r>
          </w:p>
          <w:p w14:paraId="1EFC8E4A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Č – článok</w:t>
            </w:r>
          </w:p>
          <w:p w14:paraId="59EB5CFC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§ – paragraf</w:t>
            </w:r>
          </w:p>
          <w:p w14:paraId="355B20EA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O – odsek</w:t>
            </w:r>
          </w:p>
          <w:p w14:paraId="040A8408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V – veta</w:t>
            </w:r>
          </w:p>
          <w:p w14:paraId="2277E446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 xml:space="preserve">P – </w:t>
            </w:r>
            <w:proofErr w:type="spellStart"/>
            <w:r w:rsidRPr="00B05D0A">
              <w:rPr>
                <w:sz w:val="20"/>
                <w:szCs w:val="20"/>
              </w:rPr>
              <w:t>pododsek</w:t>
            </w:r>
            <w:proofErr w:type="spellEnd"/>
            <w:r w:rsidRPr="00B05D0A">
              <w:rPr>
                <w:sz w:val="20"/>
                <w:szCs w:val="20"/>
              </w:rPr>
              <w:t xml:space="preserve"> (bod)</w:t>
            </w:r>
          </w:p>
        </w:tc>
        <w:tc>
          <w:tcPr>
            <w:tcW w:w="6770" w:type="dxa"/>
            <w:hideMark/>
          </w:tcPr>
          <w:p w14:paraId="6C7D2233" w14:textId="77777777" w:rsidR="0096795A" w:rsidRPr="00B05D0A" w:rsidRDefault="0096795A" w:rsidP="00CD6428">
            <w:pPr>
              <w:pStyle w:val="Normlny0"/>
              <w:autoSpaceDE/>
              <w:rPr>
                <w:lang w:eastAsia="sk-SK"/>
              </w:rPr>
            </w:pPr>
            <w:r w:rsidRPr="00B05D0A">
              <w:rPr>
                <w:lang w:eastAsia="sk-SK"/>
              </w:rPr>
              <w:t>V stĺpci (7):</w:t>
            </w:r>
          </w:p>
          <w:p w14:paraId="1795F764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Ú – úplná zhoda</w:t>
            </w:r>
          </w:p>
          <w:p w14:paraId="6F406A5A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Č – čiastočná zhoda</w:t>
            </w:r>
          </w:p>
          <w:p w14:paraId="153CF349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 xml:space="preserve">Ž – žiadna zhoda </w:t>
            </w:r>
          </w:p>
          <w:p w14:paraId="5E4E0345" w14:textId="77777777" w:rsidR="0096795A" w:rsidRPr="00B05D0A" w:rsidRDefault="0096795A" w:rsidP="00CD6428">
            <w:pPr>
              <w:rPr>
                <w:sz w:val="20"/>
                <w:szCs w:val="20"/>
              </w:rPr>
            </w:pPr>
            <w:r w:rsidRPr="00B05D0A">
              <w:rPr>
                <w:sz w:val="20"/>
                <w:szCs w:val="20"/>
              </w:rPr>
              <w:t>n. a. – neaplikovateľnosť</w:t>
            </w:r>
          </w:p>
        </w:tc>
      </w:tr>
    </w:tbl>
    <w:p w14:paraId="47DF56AA" w14:textId="77777777" w:rsidR="0096795A" w:rsidRPr="00B05D0A" w:rsidRDefault="0096795A" w:rsidP="0096795A">
      <w:pPr>
        <w:autoSpaceDE/>
        <w:autoSpaceDN/>
        <w:jc w:val="both"/>
        <w:rPr>
          <w:sz w:val="20"/>
          <w:szCs w:val="20"/>
          <w:lang w:eastAsia="en-US"/>
        </w:rPr>
      </w:pPr>
    </w:p>
    <w:p w14:paraId="729623B7" w14:textId="77777777" w:rsidR="00FE4D21" w:rsidRDefault="00FE4D21"/>
    <w:sectPr w:rsidR="00FE4D21" w:rsidSect="0096795A">
      <w:footerReference w:type="default" r:id="rId6"/>
      <w:footerReference w:type="first" r:id="rId7"/>
      <w:pgSz w:w="16840" w:h="11907" w:orient="landscape" w:code="9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DDC2" w14:textId="77777777" w:rsidR="00AD6F9F" w:rsidRDefault="00AD6F9F">
      <w:r>
        <w:separator/>
      </w:r>
    </w:p>
  </w:endnote>
  <w:endnote w:type="continuationSeparator" w:id="0">
    <w:p w14:paraId="60EF937E" w14:textId="77777777" w:rsidR="00AD6F9F" w:rsidRDefault="00A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C8C5A" w14:textId="528DA5FD" w:rsidR="0096795A" w:rsidRPr="00D80657" w:rsidRDefault="0096795A">
    <w:pPr>
      <w:pStyle w:val="Pta"/>
      <w:framePr w:wrap="auto" w:vAnchor="text" w:hAnchor="margin" w:xAlign="center" w:y="1"/>
      <w:rPr>
        <w:rStyle w:val="Cslostrany"/>
        <w:rFonts w:ascii="Times New Roman" w:hAnsi="Times New Roman"/>
        <w:sz w:val="24"/>
      </w:rPr>
    </w:pPr>
    <w:r w:rsidRPr="00D80657">
      <w:rPr>
        <w:rStyle w:val="Cslostrany"/>
        <w:rFonts w:ascii="Times New Roman" w:hAnsi="Times New Roman"/>
        <w:sz w:val="24"/>
      </w:rPr>
      <w:fldChar w:fldCharType="begin"/>
    </w:r>
    <w:r w:rsidRPr="00D80657">
      <w:rPr>
        <w:rStyle w:val="Cslostrany"/>
        <w:rFonts w:ascii="Times New Roman" w:hAnsi="Times New Roman"/>
        <w:sz w:val="24"/>
      </w:rPr>
      <w:instrText xml:space="preserve">PAGE  </w:instrText>
    </w:r>
    <w:r w:rsidRPr="00D80657">
      <w:rPr>
        <w:rStyle w:val="Cslostrany"/>
        <w:rFonts w:ascii="Times New Roman" w:hAnsi="Times New Roman"/>
        <w:sz w:val="24"/>
      </w:rPr>
      <w:fldChar w:fldCharType="separate"/>
    </w:r>
    <w:r w:rsidR="00AB53F3">
      <w:rPr>
        <w:rStyle w:val="Cslostrany"/>
        <w:rFonts w:ascii="Times New Roman" w:hAnsi="Times New Roman"/>
        <w:noProof/>
        <w:sz w:val="24"/>
      </w:rPr>
      <w:t>4</w:t>
    </w:r>
    <w:r w:rsidRPr="00D80657">
      <w:rPr>
        <w:rStyle w:val="Cslostrany"/>
        <w:rFonts w:ascii="Times New Roman" w:hAnsi="Times New Roman"/>
        <w:sz w:val="24"/>
      </w:rPr>
      <w:fldChar w:fldCharType="end"/>
    </w:r>
  </w:p>
  <w:p w14:paraId="2271354F" w14:textId="77777777" w:rsidR="0096795A" w:rsidRPr="00D80657" w:rsidRDefault="0096795A">
    <w:pPr>
      <w:pStyle w:val="Pta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567413"/>
      <w:docPartObj>
        <w:docPartGallery w:val="Page Numbers (Bottom of Page)"/>
        <w:docPartUnique/>
      </w:docPartObj>
    </w:sdtPr>
    <w:sdtEndPr/>
    <w:sdtContent>
      <w:p w14:paraId="4468AD65" w14:textId="5BA4BEF3" w:rsidR="0096795A" w:rsidRDefault="0096795A" w:rsidP="00FF03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3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50516" w14:textId="77777777" w:rsidR="00AD6F9F" w:rsidRDefault="00AD6F9F">
      <w:r>
        <w:separator/>
      </w:r>
    </w:p>
  </w:footnote>
  <w:footnote w:type="continuationSeparator" w:id="0">
    <w:p w14:paraId="07E7CE45" w14:textId="77777777" w:rsidR="00AD6F9F" w:rsidRDefault="00AD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5A"/>
    <w:rsid w:val="00345DE1"/>
    <w:rsid w:val="004174C4"/>
    <w:rsid w:val="00497146"/>
    <w:rsid w:val="004B3B35"/>
    <w:rsid w:val="00572F0B"/>
    <w:rsid w:val="005E1AA3"/>
    <w:rsid w:val="008E2C26"/>
    <w:rsid w:val="008E5C6F"/>
    <w:rsid w:val="0096795A"/>
    <w:rsid w:val="009D5DD4"/>
    <w:rsid w:val="00AB53F3"/>
    <w:rsid w:val="00AD6F9F"/>
    <w:rsid w:val="00AE0717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096C"/>
  <w15:chartTrackingRefBased/>
  <w15:docId w15:val="{6BA960A6-2ACA-4F5E-8926-5747A8BE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95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795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795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795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795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795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795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795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795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7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7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79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79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79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79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79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79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795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6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795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6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795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679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795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6795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7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795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795A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96795A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96795A"/>
    <w:rPr>
      <w:rFonts w:ascii="Arial" w:eastAsia="Times New Roman" w:hAnsi="Arial" w:cs="Arial"/>
      <w:kern w:val="0"/>
      <w:lang w:eastAsia="sk-SK"/>
      <w14:ligatures w14:val="none"/>
    </w:rPr>
  </w:style>
  <w:style w:type="character" w:customStyle="1" w:styleId="Cslostrany">
    <w:name w:val="Císlo strany"/>
    <w:basedOn w:val="Predvolenpsmoodseku"/>
    <w:rsid w:val="0096795A"/>
    <w:rPr>
      <w:rFonts w:cs="Times New Roman"/>
    </w:rPr>
  </w:style>
  <w:style w:type="paragraph" w:customStyle="1" w:styleId="Normlny0">
    <w:name w:val="_Normálny"/>
    <w:basedOn w:val="Normlny"/>
    <w:rsid w:val="0096795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Mačanga</dc:creator>
  <cp:keywords/>
  <dc:description/>
  <cp:lastModifiedBy>Mačanga Ján</cp:lastModifiedBy>
  <cp:revision>4</cp:revision>
  <dcterms:created xsi:type="dcterms:W3CDTF">2025-07-07T12:11:00Z</dcterms:created>
  <dcterms:modified xsi:type="dcterms:W3CDTF">2025-09-18T07:01:00Z</dcterms:modified>
</cp:coreProperties>
</file>